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3" w:rsidRPr="002B28D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2B28D3">
        <w:rPr>
          <w:rFonts w:ascii="Calibri" w:hAnsi="Calibri" w:cs="Calibri"/>
          <w:b/>
          <w:sz w:val="44"/>
          <w:szCs w:val="44"/>
        </w:rPr>
        <w:t>Všeobecne záväzné nariadenie</w:t>
      </w:r>
    </w:p>
    <w:p w:rsidR="00EA2E33" w:rsidRPr="002B28D3" w:rsidRDefault="002B28D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2B28D3">
        <w:rPr>
          <w:rFonts w:ascii="Calibri" w:hAnsi="Calibri" w:cs="Calibri"/>
          <w:b/>
          <w:sz w:val="44"/>
          <w:szCs w:val="44"/>
        </w:rPr>
        <w:t>č. 04/2022</w:t>
      </w:r>
    </w:p>
    <w:p w:rsidR="00EA2E33" w:rsidRPr="002B28D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2B28D3">
        <w:rPr>
          <w:rFonts w:ascii="Calibri" w:hAnsi="Calibri" w:cs="Calibri"/>
          <w:b/>
          <w:sz w:val="44"/>
          <w:szCs w:val="44"/>
        </w:rPr>
        <w:t>o určení názvov ulíc a iných verejných</w:t>
      </w:r>
    </w:p>
    <w:p w:rsidR="00EA2E33" w:rsidRPr="002B28D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2B28D3">
        <w:rPr>
          <w:rFonts w:ascii="Calibri" w:hAnsi="Calibri" w:cs="Calibri"/>
          <w:b/>
          <w:sz w:val="44"/>
          <w:szCs w:val="44"/>
        </w:rPr>
        <w:t>priestranstiev</w:t>
      </w:r>
    </w:p>
    <w:p w:rsidR="00BD0C79" w:rsidRP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Návrh VZN o určení názvov ulíc a iných v</w:t>
      </w:r>
      <w:r w:rsidR="00825B68">
        <w:rPr>
          <w:rFonts w:ascii="Calibri" w:hAnsi="Calibri" w:cs="Calibri"/>
          <w:sz w:val="24"/>
          <w:szCs w:val="24"/>
        </w:rPr>
        <w:t xml:space="preserve">erejných priestranstiev vyvesené na úrad.tab. a zverejnené na webovom sídle obce dňa </w:t>
      </w:r>
      <w:r w:rsidRPr="00EA2E33">
        <w:rPr>
          <w:rFonts w:ascii="Calibri" w:hAnsi="Calibri" w:cs="Calibri"/>
          <w:sz w:val="24"/>
          <w:szCs w:val="24"/>
        </w:rPr>
        <w:t xml:space="preserve">: </w:t>
      </w:r>
      <w:r w:rsidR="002B28D3">
        <w:rPr>
          <w:rFonts w:ascii="Calibri" w:hAnsi="Calibri" w:cs="Calibri"/>
          <w:sz w:val="24"/>
          <w:szCs w:val="24"/>
        </w:rPr>
        <w:t>01.04</w:t>
      </w:r>
      <w:r w:rsidR="00825B68">
        <w:rPr>
          <w:rFonts w:ascii="Calibri" w:hAnsi="Calibri" w:cs="Calibri"/>
          <w:sz w:val="24"/>
          <w:szCs w:val="24"/>
        </w:rPr>
        <w:t>.</w:t>
      </w:r>
      <w:r w:rsidR="002B28D3">
        <w:rPr>
          <w:rFonts w:ascii="Calibri" w:hAnsi="Calibri" w:cs="Calibri"/>
          <w:sz w:val="24"/>
          <w:szCs w:val="24"/>
        </w:rPr>
        <w:t>2022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 xml:space="preserve">Návrh VZN o určení názvov ulíc a iných </w:t>
      </w:r>
      <w:r w:rsidR="00825B68">
        <w:rPr>
          <w:rFonts w:ascii="Calibri" w:hAnsi="Calibri" w:cs="Calibri"/>
          <w:sz w:val="24"/>
          <w:szCs w:val="24"/>
        </w:rPr>
        <w:t>verejných priestranstiev zvesené</w:t>
      </w:r>
      <w:r w:rsidRPr="00EA2E33">
        <w:rPr>
          <w:rFonts w:ascii="Calibri" w:hAnsi="Calibri" w:cs="Calibri"/>
          <w:sz w:val="24"/>
          <w:szCs w:val="24"/>
        </w:rPr>
        <w:t xml:space="preserve"> z úrad. tabule dňa: </w:t>
      </w:r>
      <w:r w:rsidR="002B28D3">
        <w:rPr>
          <w:rFonts w:ascii="Calibri" w:hAnsi="Calibri" w:cs="Calibri"/>
          <w:sz w:val="24"/>
          <w:szCs w:val="24"/>
        </w:rPr>
        <w:t>15.04</w:t>
      </w:r>
      <w:r w:rsidR="00825B68">
        <w:rPr>
          <w:rFonts w:ascii="Calibri" w:hAnsi="Calibri" w:cs="Calibri"/>
          <w:sz w:val="24"/>
          <w:szCs w:val="24"/>
        </w:rPr>
        <w:t>.</w:t>
      </w:r>
      <w:r w:rsidR="002B28D3">
        <w:rPr>
          <w:rFonts w:ascii="Calibri" w:hAnsi="Calibri" w:cs="Calibri"/>
          <w:sz w:val="24"/>
          <w:szCs w:val="24"/>
        </w:rPr>
        <w:t>2022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Vyhodnotenie pripomienok k návrhu VZN o určení názvov ulíc a iných verejných priestranstiev</w:t>
      </w:r>
      <w:r w:rsidR="00825B68">
        <w:rPr>
          <w:rFonts w:ascii="Calibri" w:hAnsi="Calibri" w:cs="Calibri"/>
          <w:sz w:val="24"/>
          <w:szCs w:val="24"/>
        </w:rPr>
        <w:t xml:space="preserve"> dňa </w:t>
      </w:r>
      <w:r w:rsidRPr="00EA2E33">
        <w:rPr>
          <w:rFonts w:ascii="Calibri" w:hAnsi="Calibri" w:cs="Calibri"/>
          <w:sz w:val="24"/>
          <w:szCs w:val="24"/>
        </w:rPr>
        <w:t xml:space="preserve">: </w:t>
      </w:r>
      <w:r w:rsidR="002B28D3">
        <w:rPr>
          <w:rFonts w:ascii="Calibri" w:hAnsi="Calibri" w:cs="Calibri"/>
          <w:sz w:val="24"/>
          <w:szCs w:val="24"/>
        </w:rPr>
        <w:t>20.04</w:t>
      </w:r>
      <w:r w:rsidR="00825B68">
        <w:rPr>
          <w:rFonts w:ascii="Calibri" w:hAnsi="Calibri" w:cs="Calibri"/>
          <w:sz w:val="24"/>
          <w:szCs w:val="24"/>
        </w:rPr>
        <w:t>.</w:t>
      </w:r>
      <w:r w:rsidR="002B28D3">
        <w:rPr>
          <w:rFonts w:ascii="Calibri" w:hAnsi="Calibri" w:cs="Calibri"/>
          <w:sz w:val="24"/>
          <w:szCs w:val="24"/>
        </w:rPr>
        <w:t>2022</w:t>
      </w:r>
      <w:r w:rsidR="00825B68">
        <w:rPr>
          <w:rFonts w:ascii="Calibri" w:hAnsi="Calibri" w:cs="Calibri"/>
          <w:sz w:val="24"/>
          <w:szCs w:val="24"/>
        </w:rPr>
        <w:t xml:space="preserve"> /bez pripomienok/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 xml:space="preserve">VZN o určení názvov ulíc a iných verejných priestranstiev schválené OZ dňa: </w:t>
      </w:r>
      <w:r w:rsidR="002B28D3">
        <w:rPr>
          <w:rFonts w:ascii="Calibri" w:hAnsi="Calibri" w:cs="Calibri"/>
          <w:sz w:val="24"/>
          <w:szCs w:val="24"/>
        </w:rPr>
        <w:t>21.04.2022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 xml:space="preserve">VZN o určení názvov ulíc a iných verejných priestranstiev vyvesené </w:t>
      </w:r>
      <w:r w:rsidR="00825B68">
        <w:rPr>
          <w:rFonts w:ascii="Calibri" w:hAnsi="Calibri" w:cs="Calibri"/>
          <w:sz w:val="24"/>
          <w:szCs w:val="24"/>
        </w:rPr>
        <w:t>n</w:t>
      </w:r>
      <w:r w:rsidRPr="00EA2E33">
        <w:rPr>
          <w:rFonts w:ascii="Calibri" w:hAnsi="Calibri" w:cs="Calibri"/>
          <w:sz w:val="24"/>
          <w:szCs w:val="24"/>
        </w:rPr>
        <w:t xml:space="preserve">a úrad. </w:t>
      </w:r>
      <w:r w:rsidR="00825B68" w:rsidRPr="00EA2E33">
        <w:rPr>
          <w:rFonts w:ascii="Calibri" w:hAnsi="Calibri" w:cs="Calibri"/>
          <w:sz w:val="24"/>
          <w:szCs w:val="24"/>
        </w:rPr>
        <w:t>T</w:t>
      </w:r>
      <w:r w:rsidRPr="00EA2E33">
        <w:rPr>
          <w:rFonts w:ascii="Calibri" w:hAnsi="Calibri" w:cs="Calibri"/>
          <w:sz w:val="24"/>
          <w:szCs w:val="24"/>
        </w:rPr>
        <w:t>abuli</w:t>
      </w:r>
      <w:r w:rsidR="00825B68">
        <w:rPr>
          <w:rFonts w:ascii="Calibri" w:hAnsi="Calibri" w:cs="Calibri"/>
          <w:sz w:val="24"/>
          <w:szCs w:val="24"/>
        </w:rPr>
        <w:t xml:space="preserve"> a zverejnené na webovom sídle obce dňa</w:t>
      </w:r>
      <w:r w:rsidRPr="00EA2E33">
        <w:rPr>
          <w:rFonts w:ascii="Calibri" w:hAnsi="Calibri" w:cs="Calibri"/>
          <w:sz w:val="24"/>
          <w:szCs w:val="24"/>
        </w:rPr>
        <w:t xml:space="preserve"> :</w:t>
      </w:r>
      <w:r w:rsidR="002B28D3">
        <w:rPr>
          <w:rFonts w:ascii="Calibri" w:hAnsi="Calibri" w:cs="Calibri"/>
          <w:sz w:val="24"/>
          <w:szCs w:val="24"/>
        </w:rPr>
        <w:t xml:space="preserve"> 22.04</w:t>
      </w:r>
      <w:r w:rsidR="00BD0C79">
        <w:rPr>
          <w:rFonts w:ascii="Calibri" w:hAnsi="Calibri" w:cs="Calibri"/>
          <w:sz w:val="24"/>
          <w:szCs w:val="24"/>
        </w:rPr>
        <w:t>.</w:t>
      </w:r>
      <w:r w:rsidR="002B28D3">
        <w:rPr>
          <w:rFonts w:ascii="Calibri" w:hAnsi="Calibri" w:cs="Calibri"/>
          <w:sz w:val="24"/>
          <w:szCs w:val="24"/>
        </w:rPr>
        <w:t>2022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VZN o určení názvov ulíc a iných verejných priestranstiev nadobúda účinnosť:</w:t>
      </w:r>
      <w:r w:rsidR="002B28D3">
        <w:rPr>
          <w:rFonts w:ascii="Calibri" w:hAnsi="Calibri" w:cs="Calibri"/>
          <w:sz w:val="24"/>
          <w:szCs w:val="24"/>
        </w:rPr>
        <w:t xml:space="preserve"> 01.05</w:t>
      </w:r>
      <w:r w:rsidR="00825B68">
        <w:rPr>
          <w:rFonts w:ascii="Calibri" w:hAnsi="Calibri" w:cs="Calibri"/>
          <w:sz w:val="24"/>
          <w:szCs w:val="24"/>
        </w:rPr>
        <w:t>.</w:t>
      </w:r>
      <w:r w:rsidR="002B28D3">
        <w:rPr>
          <w:rFonts w:ascii="Calibri" w:hAnsi="Calibri" w:cs="Calibri"/>
          <w:sz w:val="24"/>
          <w:szCs w:val="24"/>
        </w:rPr>
        <w:t>2022</w:t>
      </w:r>
    </w:p>
    <w:p w:rsidR="00BD0C79" w:rsidRPr="00EA2E33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Obecné zastupiteľstvo v</w:t>
      </w:r>
      <w:r w:rsidR="002B28D3">
        <w:rPr>
          <w:rFonts w:ascii="Calibri" w:hAnsi="Calibri" w:cs="Calibri"/>
          <w:sz w:val="24"/>
          <w:szCs w:val="24"/>
        </w:rPr>
        <w:t> Gemerských Dechtároch</w:t>
      </w:r>
      <w:r w:rsidRPr="00EA2E33">
        <w:rPr>
          <w:rFonts w:ascii="Calibri" w:hAnsi="Calibri" w:cs="Calibri"/>
          <w:sz w:val="24"/>
          <w:szCs w:val="24"/>
        </w:rPr>
        <w:t xml:space="preserve"> v</w:t>
      </w:r>
      <w:r w:rsidR="00637996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zmysle</w:t>
      </w:r>
      <w:r w:rsidR="00637996">
        <w:rPr>
          <w:rFonts w:ascii="Calibri" w:hAnsi="Calibri" w:cs="Calibri"/>
          <w:sz w:val="24"/>
          <w:szCs w:val="24"/>
        </w:rPr>
        <w:t xml:space="preserve"> </w:t>
      </w:r>
      <w:r w:rsidR="00BD0C79">
        <w:rPr>
          <w:rFonts w:ascii="Calibri" w:hAnsi="Calibri" w:cs="Calibri"/>
          <w:sz w:val="24"/>
          <w:szCs w:val="24"/>
        </w:rPr>
        <w:t>§4 ods.5,</w:t>
      </w:r>
      <w:r w:rsidRPr="00EA2E33">
        <w:rPr>
          <w:rFonts w:ascii="Calibri" w:hAnsi="Calibri" w:cs="Calibri"/>
          <w:sz w:val="24"/>
          <w:szCs w:val="24"/>
        </w:rPr>
        <w:t xml:space="preserve"> § 6, § 11 ods. 4 písm. g)</w:t>
      </w:r>
      <w:r w:rsidR="00BD0C79">
        <w:rPr>
          <w:rFonts w:ascii="Calibri" w:hAnsi="Calibri" w:cs="Calibri"/>
          <w:sz w:val="24"/>
          <w:szCs w:val="24"/>
        </w:rPr>
        <w:t xml:space="preserve">  </w:t>
      </w:r>
      <w:r w:rsidRPr="00EA2E33">
        <w:rPr>
          <w:rFonts w:ascii="Calibri" w:hAnsi="Calibri" w:cs="Calibri"/>
          <w:sz w:val="24"/>
          <w:szCs w:val="24"/>
        </w:rPr>
        <w:t xml:space="preserve"> zákona č. 369/1990 Z. z.o obecnom zriadení a v súlade s vyhláškou Ministerstva vnútra Slovenskej republiky č. 31/2003 Z. z.,ktorou sa ustanovujú podrobnosti o označovaní ulíc a iných verejných priestranstiev a o číslovaní stavieb</w:t>
      </w:r>
    </w:p>
    <w:p w:rsidR="00BD0C79" w:rsidRPr="00EA2E33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V</w:t>
      </w:r>
      <w:r w:rsidR="00EA2E33" w:rsidRPr="00EA2E33">
        <w:rPr>
          <w:rFonts w:ascii="Calibri-Bold" w:hAnsi="Calibri-Bold" w:cs="Calibri-Bold"/>
          <w:b/>
          <w:bCs/>
        </w:rPr>
        <w:t>ydáva</w:t>
      </w:r>
    </w:p>
    <w:p w:rsid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D0C79">
        <w:rPr>
          <w:rFonts w:ascii="Calibri" w:hAnsi="Calibri" w:cs="Calibri"/>
          <w:sz w:val="28"/>
          <w:szCs w:val="28"/>
        </w:rPr>
        <w:t>Všeobecne záväzné nariadenie o určení názvov ulíc a iných verejných priestranstiev (ďalej len ako„VZN“)</w:t>
      </w:r>
    </w:p>
    <w:p w:rsidR="00BD0C79" w:rsidRPr="00BD0C79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2E33" w:rsidRP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1</w:t>
      </w:r>
    </w:p>
    <w:p w:rsid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Úvodné ustanovenia</w:t>
      </w:r>
    </w:p>
    <w:p w:rsidR="00BD0C79" w:rsidRP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Účelom tohto Všeobecne záväzného nariadenia (ďalej len „nariadenie“ alebo „VZN“) je stanoviť</w:t>
      </w:r>
      <w:r w:rsidR="00725E52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pravidlá, podľa ktorých sa postupuje pri označovaní ulíc a iných verejných priestranstiev na celom</w:t>
      </w:r>
      <w:r w:rsidR="00BD0C7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 xml:space="preserve">území obce </w:t>
      </w:r>
      <w:r w:rsidR="0078305D">
        <w:rPr>
          <w:rFonts w:ascii="Calibri" w:hAnsi="Calibri" w:cs="Calibri"/>
          <w:sz w:val="24"/>
          <w:szCs w:val="24"/>
        </w:rPr>
        <w:t>Cakov</w:t>
      </w:r>
      <w:r w:rsidRPr="00EA2E33">
        <w:rPr>
          <w:rFonts w:ascii="Calibri" w:hAnsi="Calibri" w:cs="Calibri"/>
          <w:sz w:val="24"/>
          <w:szCs w:val="24"/>
        </w:rPr>
        <w:t>. Označenie názvov ulíc a iných verejných priestranstiev slúži obci a</w:t>
      </w:r>
      <w:r w:rsidR="00286825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ostatným</w:t>
      </w:r>
      <w:r w:rsidR="00286825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subjektom na získanie prehľadu o umiestnení stavieb a súčasne prispeje k lepšej orientáci</w:t>
      </w:r>
      <w:r w:rsidR="00286825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iobyvateľov, turistov a návštevníkov obce.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Evidenciu určených názvov a prípadných zmien názvov ulíc a iných verejných priestranstiev vedie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 xml:space="preserve">Obec </w:t>
      </w:r>
      <w:r w:rsidR="002B28D3">
        <w:rPr>
          <w:rFonts w:ascii="Times New Roman" w:hAnsi="Times New Roman" w:cs="Times New Roman"/>
          <w:color w:val="000000"/>
          <w:sz w:val="24"/>
          <w:szCs w:val="24"/>
        </w:rPr>
        <w:t>Gemerské Dechtáre</w:t>
      </w:r>
      <w:r w:rsidRPr="00EA2E33">
        <w:rPr>
          <w:rFonts w:ascii="Calibri" w:hAnsi="Calibri" w:cs="Calibri"/>
          <w:sz w:val="24"/>
          <w:szCs w:val="24"/>
        </w:rPr>
        <w:t xml:space="preserve"> – Obecný úrad </w:t>
      </w:r>
      <w:r w:rsidR="002B28D3">
        <w:rPr>
          <w:rFonts w:ascii="Times New Roman" w:hAnsi="Times New Roman" w:cs="Times New Roman"/>
          <w:color w:val="000000"/>
          <w:sz w:val="24"/>
          <w:szCs w:val="24"/>
        </w:rPr>
        <w:t>Gemerské Dechtáre</w:t>
      </w:r>
    </w:p>
    <w:p w:rsidR="00BD0C79" w:rsidRPr="00EA2E33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2</w:t>
      </w:r>
    </w:p>
    <w:p w:rsid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Vymedzenie základných pojmov</w:t>
      </w:r>
    </w:p>
    <w:p w:rsidR="00BD0C79" w:rsidRP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Ulica je súvislá komunikácia s priľahlými stavbami alebo pozemkami, určenými územným plánom na</w:t>
      </w:r>
      <w:r w:rsidR="00286825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zastavanie.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lastRenderedPageBreak/>
        <w:t>(2) Iné verejné priestranstvá sú plochy ležiace spravidla v osobitnej časti obce, verejne prístupných</w:t>
      </w:r>
      <w:r w:rsidR="00BD0C7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obyvateľstvu a určené na verejné účely.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Stavba pre účely tohto nariadenia je každá samostatná stavba, ležiaca na území obce spojená so</w:t>
      </w:r>
      <w:r w:rsidR="00286825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zemou pevným základom, ktorá má vlastný vchod.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Súpisné číslo je číslo, ktoré sa prideľuje každej budove v poradí podľa osobitnej evidencie.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(5) Orientačné číslo je číslo pre lepšiu orientáciu na ulici.</w:t>
      </w:r>
    </w:p>
    <w:p w:rsidR="00BD0C79" w:rsidRPr="00EA2E33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3</w:t>
      </w:r>
    </w:p>
    <w:p w:rsid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Názvy ulíc a verejných priestranstiev</w:t>
      </w:r>
    </w:p>
    <w:p w:rsidR="00BD0C79" w:rsidRP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Názvy ulíc a verejných priestranstiev sa prijímajú schválením VZN.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Každá ulica má svoj vlastný názov, alebo označenie druhu iného verejného priestranstva.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Zmenu názvu ulice a názov novej ulice predkladá obecný úrad.</w:t>
      </w:r>
    </w:p>
    <w:p w:rsidR="00BD0C79" w:rsidRPr="00EA2E33" w:rsidRDefault="00BD0C7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4</w:t>
      </w:r>
    </w:p>
    <w:p w:rsidR="00EA2E33" w:rsidRDefault="00EA2E33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Zoznam ulíc obce a zásady ich používania</w:t>
      </w:r>
    </w:p>
    <w:p w:rsidR="00BD0C79" w:rsidRPr="00EA2E33" w:rsidRDefault="00BD0C79" w:rsidP="00BD0C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V prílohe č. 1, ktorá tvorí neoddeliteľnú súčasť tohto nariadenia sú podľa abecedného zoznamu</w:t>
      </w:r>
      <w:r w:rsidR="00BD0C79">
        <w:rPr>
          <w:rFonts w:ascii="Calibri" w:hAnsi="Calibri" w:cs="Calibri"/>
          <w:sz w:val="24"/>
          <w:szCs w:val="24"/>
        </w:rPr>
        <w:t xml:space="preserve"> určené názvy ulíc spolu</w:t>
      </w:r>
      <w:r w:rsidRPr="00EA2E33">
        <w:rPr>
          <w:rFonts w:ascii="Calibri" w:hAnsi="Calibri" w:cs="Calibri"/>
          <w:sz w:val="24"/>
          <w:szCs w:val="24"/>
        </w:rPr>
        <w:t>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V prílohe č. 2, ktorá tvorí neoddeliteľnú súčasť tohto nariadenia je zobrazená situácia označenia ulíc</w:t>
      </w:r>
      <w:r w:rsidR="00BD0C7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v obci.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Názov ulice sa píše v znení ako je uvedené v tomto nariadení.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Pri písaní plnej adresy sa zvykne správne používať názov ulice v spojení so súpisným číslom lomené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orientačným číslom stavby.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5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Označovanie ulíc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Ulice sa označujú názvami na orientačných tabuliach rovnakého typu v zmysle vyhlášky MV SR č.31/2003 Z. z. v znení neskorších noviel, ktorou sa ustanovujú podrobnosti o označovaní ulíc a</w:t>
      </w:r>
      <w:r w:rsidR="00865509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iných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verejných priestranstiev a o číslovaní stavby.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Orientačná tabuľa s názvom ulice sa umiestňuje na pozemnú stavbu (ďalej len „budova“), ktorá sa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nachádza najbližšie k miestu vyústenia ulice do stredu obce a na budovu, ktorou sa ulica končí.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Na orientačnej tabuli s názvom ulice sa používa neskrátený názov tak, ako je uvedený v prílohe č. 1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tohto nariadenia.</w:t>
      </w:r>
    </w:p>
    <w:p w:rsidR="00241F1C" w:rsidRDefault="00EA2E33" w:rsidP="0024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Názvy ulíc a ďalšie orientačné údaje sa uvádzajú v štátnom jazyku.</w:t>
      </w:r>
      <w:r w:rsidR="00241F1C" w:rsidRPr="0024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1C" w:rsidRDefault="00241F1C" w:rsidP="0024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Označenie ulíc a iných verejných priestranstiev v jazyku národnostnej menšiny upravuje</w:t>
      </w:r>
    </w:p>
    <w:p w:rsidR="00241F1C" w:rsidRDefault="00241F1C" w:rsidP="0024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osobitný zákon1.</w:t>
      </w:r>
    </w:p>
    <w:p w:rsidR="00241F1C" w:rsidRPr="00241F1C" w:rsidRDefault="00241F1C" w:rsidP="00EA2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 zákon č. 184/1999 Z. z. o používaní jazykov národnostných menšín v znení neskorších predpisov/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2E33">
        <w:rPr>
          <w:rFonts w:ascii="Calibri" w:hAnsi="Calibri" w:cs="Calibri"/>
          <w:sz w:val="24"/>
          <w:szCs w:val="24"/>
        </w:rPr>
        <w:t>(5) Označenie ulíc a iných verejných priestranstiev názvami zabezpečuje obec na vlastné náklady</w:t>
      </w:r>
      <w:r w:rsidRPr="00EA2E33">
        <w:rPr>
          <w:rFonts w:ascii="Calibri" w:hAnsi="Calibri" w:cs="Calibri"/>
        </w:rPr>
        <w:t>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lastRenderedPageBreak/>
        <w:t>Článok 6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Označovanie ulíc inými orientačnými údajmi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Obec môže označiť ulice okrem orientačných tabúľ s názvami ulíc aj ďalšími orientačnými údajmi na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samostatných informačných tabuliach rovnakého typu. Ďalšími orientačnými údajmi môžu byť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označenia smeru ulice, umiestnenie významných inštitúcií, budov.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Informačné tabule na označenie ulice ďalšími orientačnými údajmi sa umiestňujú spravidla na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križovatke ulíc tak, aby neprekážali viditeľnosti dopravných značiek. Osadzujú sa na samostatných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stojanoch zapustených do zeme, výnimočne sa môžu umiestniť aj na budovy alebo iné vhodné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miesta.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7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Zásady označovania nových ulíc a ich zmeny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Obec určuje názvy ulíc a ich zmeny na základe požiadaviek.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Názvy ulíc a verejných priestranstiev možno u</w:t>
      </w:r>
      <w:r w:rsidR="00865509">
        <w:rPr>
          <w:rFonts w:ascii="Calibri" w:hAnsi="Calibri" w:cs="Calibri"/>
          <w:sz w:val="24"/>
          <w:szCs w:val="24"/>
        </w:rPr>
        <w:t xml:space="preserve">rčovať a meniť len po dôkladnom </w:t>
      </w:r>
      <w:r w:rsidRPr="00EA2E33">
        <w:rPr>
          <w:rFonts w:ascii="Calibri" w:hAnsi="Calibri" w:cs="Calibri"/>
          <w:sz w:val="24"/>
          <w:szCs w:val="24"/>
        </w:rPr>
        <w:t>prerokovaní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obecným zastupiteľstvom a iba schválením VZN alebo dodatkom k už schválenému VZN.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8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Vymedzovanie pojmu „ číslovanie stavieb“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Číslovaním stavieb sa rozumie: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a) rozhodovanie obce o určení súpisného čísla stavbe a orientačného čísla stavbe,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b) pridelenie určeného súpisného čísla a orientačného čísla konkrétnej stavbe, zápis do registra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adries o pridelení čísla a vydanie tabuľky s prideleným číslom,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c) vedenie evidencie súpisných čísiel a orientačných čísiel obcou a udržiavanie evidencií v</w:t>
      </w:r>
      <w:r w:rsidR="00865509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súlade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so skutočným stavom.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9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Druhy číslovania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2E33">
        <w:rPr>
          <w:rFonts w:ascii="Calibri" w:hAnsi="Calibri" w:cs="Calibri"/>
          <w:sz w:val="24"/>
          <w:szCs w:val="24"/>
        </w:rPr>
        <w:t>(1) Stavby sa číslujú súpisnými číslami a orientačnými</w:t>
      </w:r>
      <w:r w:rsidRPr="00EA2E33">
        <w:rPr>
          <w:rFonts w:ascii="Calibri" w:hAnsi="Calibri" w:cs="Calibri"/>
        </w:rPr>
        <w:t xml:space="preserve"> číslami.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10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Určovanie súpisných čísiel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Súpisné číslo možno určiť len budovám, ktoré sú priestorovo sústredené, zastrešené, stavebnotechnicky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vhodné, určené na ochranu ľudí, zvierat alebo vecí, prístupné z cesty, miestnej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komunikácie alebo účelovej komunikácie a sú začlenené do územia obce v súlade s urbanistickými 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environmentálnymi zásadami a požiadavkami vyplývajúcimi z územného plánu obce, zóny alebo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regiónu.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Samostatné súpisné číslo nemožno prideliť :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a) nadstavbám, ktorými sa zvyšujú existujúce budovy,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b) prístavbám, ktorými sa pôvodné budovy pôdorysne rozširujú, ale ktoré sú prevádzkovo spojené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s týmito budovami,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c) tzv. „vstavbám“, ktoré vznikli takou stavebnou úpravou budovy, pri ktorej sa zachováva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vonkajšie pôdorysné a výškové ohraničenie budovy,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d) drobným stavbám, ktoré majú doplnkovú funkciu pre hlavnú budovu (§ 139 b ods. 5 a 6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lastRenderedPageBreak/>
        <w:t>stavebného zákona),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e) príslušenstvu budovy (teda veciam, ktoré určil vlastník stavby, aby sa s ňou spoločne užívali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napr. letná kuchyňa, kôlňa, udiareň a pod.),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f) časti budovy (t. j. objektom, ktoré podľa povahy a účelu ku konkrétnej stavbe patria a</w:t>
      </w:r>
      <w:r w:rsidR="00865509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nemôžu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byť oddelené bez toho, aby sa neznehodnotili samé, alebo aby sa ich oddelením neznehodnotila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celá budova, napr. strechy, vchody, priečelia, schodištia, spoločné terasy, kotolne, vodovodné,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teplonosné, kanalizačné, elektrické, telefónne a iné prípojky, a to aj vtedy, ak sú umiestnené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mimo budovy).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V prípade tzv. zoskupených stavieb sa súpisné číslo pridelí budove, ktorá má vlastný vchod do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areálu. Musí to byť však taký vchod, ktorý umožňuje samostatný prístup do budovy z</w:t>
      </w:r>
      <w:r w:rsidR="00865509">
        <w:rPr>
          <w:rFonts w:ascii="Calibri" w:hAnsi="Calibri" w:cs="Calibri"/>
          <w:sz w:val="24"/>
          <w:szCs w:val="24"/>
        </w:rPr>
        <w:t> </w:t>
      </w:r>
      <w:r w:rsidRPr="00EA2E33">
        <w:rPr>
          <w:rFonts w:ascii="Calibri" w:hAnsi="Calibri" w:cs="Calibri"/>
          <w:sz w:val="24"/>
          <w:szCs w:val="24"/>
        </w:rPr>
        <w:t>verejnej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komunikácie, ulice alebo iného verejného priestranstva. Na určenie súpisného čísla nestačí, že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budova má dvere, bránu alebo iný otvor priamo v stene do dvora alebo poľa.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Na účely prevodu vlastníctva k stavbe a poistenia stavby môže obec určiť stavebníkovi súpisné 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orientačné číslo aj bez kolaudačného rozhodnutia.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11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Určovanie orientačných čísiel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Číslovanie orientačnými číslami je pomocným druhom číslovania, ktoré slúži na orientáciu v obci a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na konkrétnej ulici je určené v zmysle ustanovenia § 5 ods. 3 a 4 vyhlášky MV SR č. 31/2003 Z. z. v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znení neskorších predpisov.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Orientačné číslovanie vychádza z číslovania budov súpisnými číslami a úzko naň nadväzuje.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Orientačné číslovanie je pre každú ulicu samostatné a začína číslom 1.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Začiatok ulice sa obvykle určuje bližšou polohou k jednému, presne určenému bodu v obci.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(5) Umožňuje sa prideľovať orientačné čísla aj tzv. „prielukám“ určeným na zastavanie, teda stavebným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pozemkom, na ktorých ešte nie je postavená „samostatná stavba“, a to v nadväznosti na územný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plán obce a koncepciu rozvoja jednotlivých oblastí života obce, pričom je nutné dodržať číslovanie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orientačnými číslami podľa odseku 2) a 3) tohto článku.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12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Evidencia číslovania stavieb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(1) Súpisné a orientačné čísla sa vedú v evidencii súpisných čísel a v počítačovom médiu.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(2) Evidencia súpisných čísiel obsahuje údaje uvedené v zápise do registra adries o určení súpisného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čísla a údaje o bytoch a nebytových priestoroch v jednotlivých domoch.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(3) Evidencia orientačných čísiel obsahuje údaje uvedené v zápise do registra adries o určení súpisných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čísiel. Vedie sa na osobitnom liste pre každý vchod do budovy označený orientačným číslom, a to aj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vtedy, keď vchody vyúsťujú do rôznych ulíc. Listy sa zakladajú podľa názvov ulíc usporiadaných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podľa abecedného poradia a ukladajú sa podľa aritmetického poradia čísiel.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E33">
        <w:rPr>
          <w:rFonts w:ascii="Calibri" w:hAnsi="Calibri" w:cs="Calibri"/>
          <w:sz w:val="24"/>
          <w:szCs w:val="24"/>
        </w:rPr>
        <w:t>(4) Obec poskytuje podľa § 5 ods.8 zákona o obecnom zriadení z obidvoch evidencií orgánom štátu</w:t>
      </w:r>
      <w:r w:rsidR="00865509">
        <w:rPr>
          <w:rFonts w:ascii="Calibri" w:hAnsi="Calibri" w:cs="Calibri"/>
          <w:sz w:val="24"/>
          <w:szCs w:val="24"/>
        </w:rPr>
        <w:t xml:space="preserve"> </w:t>
      </w:r>
      <w:r w:rsidRPr="00EA2E33">
        <w:rPr>
          <w:rFonts w:ascii="Calibri" w:hAnsi="Calibri" w:cs="Calibri"/>
          <w:sz w:val="24"/>
          <w:szCs w:val="24"/>
        </w:rPr>
        <w:t>údaje potrebné na úradné konanie alebo na vedenie ich evidencií a registrov.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40D8B" w:rsidRDefault="00040D8B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lastRenderedPageBreak/>
        <w:t>Článok 13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Označovanie stavieb číslami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(1) Tabuľky so súpisnými číslami a prípadne aj tabuľky s orientačnými číslami rovnakého vzoru, obvykle</w:t>
      </w:r>
      <w:r w:rsidR="00865509">
        <w:rPr>
          <w:rFonts w:cstheme="minorHAnsi"/>
          <w:sz w:val="24"/>
          <w:szCs w:val="24"/>
        </w:rPr>
        <w:t xml:space="preserve"> </w:t>
      </w:r>
      <w:r w:rsidRPr="00EA2E33">
        <w:rPr>
          <w:rFonts w:cstheme="minorHAnsi"/>
          <w:sz w:val="24"/>
          <w:szCs w:val="24"/>
        </w:rPr>
        <w:t>dáva vyhotoviť obec.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(2) Tabuľky so súpisným číslom sa vyhotovujú na náklady obce a stavebník ich získa bez náhrady.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(3) Vyhotovenie tabuľky s orientačným číslom uhrádza stavebník.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(4) Stavebníkovi obec doručí zápis do registra adries o určení čísla stavby.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(5) Pripevnenie a údržbu tabuľky so súpisným číslom a orientačným číslom zabezpečuje stavebník na</w:t>
      </w:r>
      <w:r w:rsidR="00865509">
        <w:rPr>
          <w:rFonts w:cstheme="minorHAnsi"/>
          <w:sz w:val="24"/>
          <w:szCs w:val="24"/>
        </w:rPr>
        <w:t xml:space="preserve"> </w:t>
      </w:r>
      <w:r w:rsidRPr="00EA2E33">
        <w:rPr>
          <w:rFonts w:cstheme="minorHAnsi"/>
          <w:sz w:val="24"/>
          <w:szCs w:val="24"/>
        </w:rPr>
        <w:t>vlastné náklady.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(6) Tabuľky sa umiestňujú spravidla vedľa seba, napravo od vchodu tak, aby boli dobre viditeľné z</w:t>
      </w:r>
      <w:r w:rsidR="00865509">
        <w:rPr>
          <w:rFonts w:cstheme="minorHAnsi"/>
          <w:sz w:val="24"/>
          <w:szCs w:val="24"/>
        </w:rPr>
        <w:t xml:space="preserve"> </w:t>
      </w:r>
      <w:r w:rsidRPr="00EA2E33">
        <w:rPr>
          <w:rFonts w:cstheme="minorHAnsi"/>
          <w:sz w:val="24"/>
          <w:szCs w:val="24"/>
        </w:rPr>
        <w:t>najbližšej komunikácie a nepôsobili rušivo na vzhľad budovy a jej okolia.</w:t>
      </w: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2E33" w:rsidRP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Článok 14</w:t>
      </w:r>
    </w:p>
    <w:p w:rsidR="00EA2E33" w:rsidRDefault="00EA2E33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EA2E33">
        <w:rPr>
          <w:rFonts w:ascii="Calibri-Bold" w:hAnsi="Calibri-Bold" w:cs="Calibri-Bold"/>
          <w:b/>
          <w:bCs/>
        </w:rPr>
        <w:t>Záverečné ustanovenia</w:t>
      </w:r>
    </w:p>
    <w:p w:rsidR="00865509" w:rsidRPr="00EA2E33" w:rsidRDefault="00865509" w:rsidP="008655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(1) Toto všeobecné záväzné nariadenie nadobúda účinnosť</w:t>
      </w:r>
      <w:r w:rsidR="00040D8B">
        <w:rPr>
          <w:rFonts w:cstheme="minorHAnsi"/>
          <w:sz w:val="24"/>
          <w:szCs w:val="24"/>
        </w:rPr>
        <w:t xml:space="preserve"> dňa 01.05.2022</w:t>
      </w:r>
      <w:r w:rsidR="00865509">
        <w:rPr>
          <w:rFonts w:cstheme="minorHAnsi"/>
          <w:sz w:val="24"/>
          <w:szCs w:val="24"/>
        </w:rPr>
        <w:t>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(2) Zmeny a doplnky tohto VZN sa môžu vykonať len všeobecne záväzným nariadením.</w:t>
      </w:r>
    </w:p>
    <w:p w:rsidR="00EA2E33" w:rsidRP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(3) Toto všeobecné záväzné nariadenie bolo schválené uznesením obecného zastupiteľstva</w:t>
      </w: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 xml:space="preserve">č. </w:t>
      </w:r>
      <w:r w:rsidR="00040D8B">
        <w:rPr>
          <w:rFonts w:cstheme="minorHAnsi"/>
          <w:sz w:val="24"/>
          <w:szCs w:val="24"/>
        </w:rPr>
        <w:t xml:space="preserve">   /2022</w:t>
      </w:r>
      <w:r w:rsidRPr="00EA2E33">
        <w:rPr>
          <w:rFonts w:cstheme="minorHAnsi"/>
          <w:sz w:val="24"/>
          <w:szCs w:val="24"/>
        </w:rPr>
        <w:t xml:space="preserve">, dňa </w:t>
      </w:r>
      <w:r w:rsidR="00040D8B">
        <w:rPr>
          <w:rFonts w:cstheme="minorHAnsi"/>
          <w:sz w:val="24"/>
          <w:szCs w:val="24"/>
        </w:rPr>
        <w:t>21.04</w:t>
      </w:r>
      <w:r w:rsidR="00825B68">
        <w:rPr>
          <w:rFonts w:cstheme="minorHAnsi"/>
          <w:sz w:val="24"/>
          <w:szCs w:val="24"/>
        </w:rPr>
        <w:t>.</w:t>
      </w:r>
      <w:r w:rsidR="00040D8B">
        <w:rPr>
          <w:rFonts w:cstheme="minorHAnsi"/>
          <w:sz w:val="24"/>
          <w:szCs w:val="24"/>
        </w:rPr>
        <w:t>2022</w:t>
      </w:r>
      <w:r w:rsidRPr="00EA2E33">
        <w:rPr>
          <w:rFonts w:cstheme="minorHAnsi"/>
          <w:sz w:val="24"/>
          <w:szCs w:val="24"/>
        </w:rPr>
        <w:t>.</w:t>
      </w: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Pr="00EA2E33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E33">
        <w:rPr>
          <w:rFonts w:cstheme="minorHAnsi"/>
          <w:sz w:val="24"/>
          <w:szCs w:val="24"/>
        </w:rPr>
        <w:t>V</w:t>
      </w:r>
      <w:r w:rsidR="00286825">
        <w:rPr>
          <w:rFonts w:cstheme="minorHAnsi"/>
          <w:sz w:val="24"/>
          <w:szCs w:val="24"/>
        </w:rPr>
        <w:t xml:space="preserve"> obci </w:t>
      </w:r>
      <w:r w:rsidR="00F24527">
        <w:rPr>
          <w:rFonts w:cstheme="minorHAnsi"/>
          <w:sz w:val="24"/>
          <w:szCs w:val="24"/>
        </w:rPr>
        <w:t>Gemerské Dechtáre</w:t>
      </w:r>
      <w:r w:rsidRPr="00EA2E33">
        <w:rPr>
          <w:rFonts w:cstheme="minorHAnsi"/>
          <w:sz w:val="24"/>
          <w:szCs w:val="24"/>
        </w:rPr>
        <w:t xml:space="preserve">, dňa </w:t>
      </w:r>
      <w:r w:rsidR="00F24527">
        <w:rPr>
          <w:rFonts w:cstheme="minorHAnsi"/>
          <w:sz w:val="24"/>
          <w:szCs w:val="24"/>
        </w:rPr>
        <w:t xml:space="preserve"> 21</w:t>
      </w:r>
      <w:r w:rsidR="008B6541">
        <w:rPr>
          <w:rFonts w:cstheme="minorHAnsi"/>
          <w:sz w:val="24"/>
          <w:szCs w:val="24"/>
        </w:rPr>
        <w:t>.</w:t>
      </w:r>
      <w:r w:rsidR="00825B68">
        <w:rPr>
          <w:rFonts w:cstheme="minorHAnsi"/>
          <w:sz w:val="24"/>
          <w:szCs w:val="24"/>
        </w:rPr>
        <w:t>0</w:t>
      </w:r>
      <w:r w:rsidR="00F24527">
        <w:rPr>
          <w:rFonts w:cstheme="minorHAnsi"/>
          <w:sz w:val="24"/>
          <w:szCs w:val="24"/>
        </w:rPr>
        <w:t>4</w:t>
      </w:r>
      <w:r w:rsidR="008B6541">
        <w:rPr>
          <w:rFonts w:cstheme="minorHAnsi"/>
          <w:sz w:val="24"/>
          <w:szCs w:val="24"/>
        </w:rPr>
        <w:t>.</w:t>
      </w:r>
      <w:r w:rsidR="00F24527">
        <w:rPr>
          <w:rFonts w:cstheme="minorHAnsi"/>
          <w:sz w:val="24"/>
          <w:szCs w:val="24"/>
        </w:rPr>
        <w:t>2022</w:t>
      </w: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F24527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F24527">
        <w:rPr>
          <w:rFonts w:cstheme="minorHAnsi"/>
          <w:sz w:val="24"/>
          <w:szCs w:val="24"/>
        </w:rPr>
        <w:t xml:space="preserve">                          ..............</w:t>
      </w:r>
      <w:r>
        <w:rPr>
          <w:rFonts w:cstheme="minorHAnsi"/>
          <w:sz w:val="24"/>
          <w:szCs w:val="24"/>
        </w:rPr>
        <w:t>...............................................</w:t>
      </w: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AE1912">
        <w:rPr>
          <w:rFonts w:cstheme="minorHAnsi"/>
          <w:sz w:val="24"/>
          <w:szCs w:val="24"/>
        </w:rPr>
        <w:t xml:space="preserve">               </w:t>
      </w:r>
      <w:r w:rsidR="0078305D">
        <w:rPr>
          <w:rFonts w:cstheme="minorHAnsi"/>
          <w:sz w:val="24"/>
          <w:szCs w:val="24"/>
        </w:rPr>
        <w:t xml:space="preserve">    </w:t>
      </w:r>
      <w:r w:rsidR="00F24527">
        <w:rPr>
          <w:rFonts w:cstheme="minorHAnsi"/>
          <w:sz w:val="24"/>
          <w:szCs w:val="24"/>
        </w:rPr>
        <w:t xml:space="preserve">Ondrej </w:t>
      </w:r>
      <w:proofErr w:type="spellStart"/>
      <w:r w:rsidR="00F24527">
        <w:rPr>
          <w:rFonts w:cstheme="minorHAnsi"/>
          <w:sz w:val="24"/>
          <w:szCs w:val="24"/>
        </w:rPr>
        <w:t>Borbáš</w:t>
      </w:r>
      <w:proofErr w:type="spellEnd"/>
      <w:r w:rsidR="00F24527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starosta obce</w:t>
      </w: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Pr="00EA2E33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2E33" w:rsidRDefault="00EA2E33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509" w:rsidRDefault="00865509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4580" w:rsidRDefault="00F04580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4580" w:rsidRPr="00EA2E33" w:rsidRDefault="00F04580" w:rsidP="00EA2E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527" w:rsidRDefault="00EA2E33" w:rsidP="008655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F24527">
        <w:rPr>
          <w:rFonts w:ascii="Calibri-Bold" w:hAnsi="Calibri-Bold" w:cs="Calibri-Bold"/>
          <w:b/>
          <w:bCs/>
          <w:sz w:val="24"/>
          <w:szCs w:val="24"/>
        </w:rPr>
        <w:lastRenderedPageBreak/>
        <w:t>Príloha č. 1:</w:t>
      </w:r>
      <w:r w:rsidRPr="00EA2E33">
        <w:rPr>
          <w:rFonts w:ascii="Calibri-Bold" w:hAnsi="Calibri-Bold" w:cs="Calibri-Bold"/>
          <w:b/>
          <w:bCs/>
          <w:sz w:val="32"/>
          <w:szCs w:val="32"/>
        </w:rPr>
        <w:t xml:space="preserve"> </w:t>
      </w:r>
    </w:p>
    <w:p w:rsidR="00F24527" w:rsidRDefault="00F24527" w:rsidP="00F245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C1920" w:rsidRPr="00F24527" w:rsidRDefault="00EA2E33" w:rsidP="00F245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8"/>
          <w:szCs w:val="28"/>
        </w:rPr>
      </w:pPr>
      <w:r w:rsidRPr="00F24527">
        <w:rPr>
          <w:rFonts w:ascii="Calibri-Bold" w:hAnsi="Calibri-Bold" w:cs="Calibri-Bold"/>
          <w:bCs/>
          <w:sz w:val="28"/>
          <w:szCs w:val="28"/>
        </w:rPr>
        <w:t>Abecedný zoznam názvov</w:t>
      </w:r>
      <w:r w:rsidR="00865509" w:rsidRPr="00F24527">
        <w:rPr>
          <w:rFonts w:ascii="Calibri-Bold" w:hAnsi="Calibri-Bold" w:cs="Calibri-Bold"/>
          <w:bCs/>
          <w:sz w:val="28"/>
          <w:szCs w:val="28"/>
        </w:rPr>
        <w:t xml:space="preserve"> ulíc </w:t>
      </w:r>
      <w:r w:rsidR="00F24527">
        <w:rPr>
          <w:rFonts w:ascii="Calibri-Bold" w:hAnsi="Calibri-Bold" w:cs="Calibri-Bold"/>
          <w:bCs/>
          <w:sz w:val="28"/>
          <w:szCs w:val="28"/>
        </w:rPr>
        <w:t>:</w:t>
      </w:r>
    </w:p>
    <w:p w:rsidR="00F04580" w:rsidRDefault="00F04580" w:rsidP="008655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04580" w:rsidRPr="00F24527" w:rsidRDefault="00040D8B" w:rsidP="00F245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</w:t>
      </w:r>
      <w:r w:rsidR="00F04580" w:rsidRPr="00F24527">
        <w:rPr>
          <w:rFonts w:cstheme="minorHAnsi"/>
          <w:bCs/>
          <w:sz w:val="24"/>
          <w:szCs w:val="24"/>
        </w:rPr>
        <w:t>lica Hlavná</w:t>
      </w:r>
    </w:p>
    <w:sectPr w:rsidR="00F04580" w:rsidRPr="00F24527" w:rsidSect="00FC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9E7"/>
    <w:multiLevelType w:val="hybridMultilevel"/>
    <w:tmpl w:val="96FE2632"/>
    <w:lvl w:ilvl="0" w:tplc="14401E30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110E"/>
    <w:multiLevelType w:val="hybridMultilevel"/>
    <w:tmpl w:val="BE9CDF76"/>
    <w:lvl w:ilvl="0" w:tplc="5D644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3"/>
    <w:rsid w:val="00040D8B"/>
    <w:rsid w:val="00241F1C"/>
    <w:rsid w:val="00286825"/>
    <w:rsid w:val="002B28D3"/>
    <w:rsid w:val="002D347A"/>
    <w:rsid w:val="003E62E7"/>
    <w:rsid w:val="003F54E1"/>
    <w:rsid w:val="004C3FFC"/>
    <w:rsid w:val="004E376C"/>
    <w:rsid w:val="00514EBF"/>
    <w:rsid w:val="005A1E78"/>
    <w:rsid w:val="005A52EE"/>
    <w:rsid w:val="00613AA0"/>
    <w:rsid w:val="00637996"/>
    <w:rsid w:val="006445D3"/>
    <w:rsid w:val="00680EAB"/>
    <w:rsid w:val="00725E52"/>
    <w:rsid w:val="0078305D"/>
    <w:rsid w:val="0079687A"/>
    <w:rsid w:val="00797E95"/>
    <w:rsid w:val="00825B68"/>
    <w:rsid w:val="00865509"/>
    <w:rsid w:val="008677D9"/>
    <w:rsid w:val="00880924"/>
    <w:rsid w:val="008A0EA1"/>
    <w:rsid w:val="008B6541"/>
    <w:rsid w:val="00947391"/>
    <w:rsid w:val="009720A4"/>
    <w:rsid w:val="00982F51"/>
    <w:rsid w:val="009957C7"/>
    <w:rsid w:val="009B46EE"/>
    <w:rsid w:val="009C64DD"/>
    <w:rsid w:val="00AD133A"/>
    <w:rsid w:val="00AE1912"/>
    <w:rsid w:val="00B6074A"/>
    <w:rsid w:val="00BD0C79"/>
    <w:rsid w:val="00BF2FB4"/>
    <w:rsid w:val="00C1619D"/>
    <w:rsid w:val="00CF292C"/>
    <w:rsid w:val="00D13828"/>
    <w:rsid w:val="00D738AD"/>
    <w:rsid w:val="00EA2E33"/>
    <w:rsid w:val="00F03DC4"/>
    <w:rsid w:val="00F04580"/>
    <w:rsid w:val="00F24527"/>
    <w:rsid w:val="00FC1920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E0D9-94DE-4DD2-8622-52079B0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9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5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HABODÁSZOVÁ Dominika</cp:lastModifiedBy>
  <cp:revision>2</cp:revision>
  <cp:lastPrinted>2022-04-20T13:27:00Z</cp:lastPrinted>
  <dcterms:created xsi:type="dcterms:W3CDTF">2022-04-20T13:36:00Z</dcterms:created>
  <dcterms:modified xsi:type="dcterms:W3CDTF">2022-04-20T13:36:00Z</dcterms:modified>
</cp:coreProperties>
</file>